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海事行政处罚首违不罚及轻微免罚清单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动态更新机制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（征求意见稿）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为落实《关于建立交通运输行政执法规范化长效机制的意见》《海事行政处罚实施细则》的要求，规范海事行政处罚首违不罚及轻微免罚清单（以下简称清单）的更新，制定本机制。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一、工作职责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交通运输部海事局负责清单的评估、调整、审议和发布工作。各直属海事管理机构和地方海事管理机构（各地方海事管理部门或者承担海事管理职责的单位）负责清单意见的收集和对外宣贯工作。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二、评估</w:t>
      </w:r>
    </w:p>
    <w:p>
      <w:pPr>
        <w:ind w:left="0" w:leftChars="0"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（一）评估情形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清单调整前应当实施评估，包括定期评估和即时评估。定期评估每年开展一次。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存在下列情形之一的，可以组织开展即时评估：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1.相关法律、行政法规、部门规章对处罚的规定进行调整的；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2.国家政策进行较大调整的；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3.实施过程中当事人或海事管理机构提出较多意见的；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4.存在有必要评估的其他情形。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即时评估可与定期评估结合开展。</w:t>
      </w:r>
    </w:p>
    <w:p>
      <w:pPr>
        <w:ind w:left="0" w:leftChars="0"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（二）评估方式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调查评估可以综合运用网上征询意见、第三方问卷调查、抽样调查、实地调研、个别访谈、召开座谈会、组织专家论证等多种方法进行。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（三）评估要求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1.全面性：对清单的内容、实施期间各单位反馈的问题等进行全面评估。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2.合法性：清单内容应当与法律、行政法规和部门规章保持一致。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3.合理性：清单所列明的轻微免罚条件、首违不罚条件应当合法、适当。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4.操作性：清单所列明的轻微免罚条件、首违不罚条件应当便于认定，不存在适用争议。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5.效能性：清单是否有利于减少水上违法行为，有利于维持水上交通安全。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三、清单调整</w:t>
      </w:r>
    </w:p>
    <w:p>
      <w:pPr>
        <w:ind w:left="0" w:leftChars="0"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不得列入清单的</w:t>
      </w:r>
      <w:r>
        <w:rPr>
          <w:rFonts w:hint="eastAsia" w:ascii="楷体_GB2312" w:hAnsi="楷体_GB2312" w:eastAsia="楷体_GB2312" w:cs="楷体_GB2312"/>
          <w:sz w:val="32"/>
          <w:szCs w:val="32"/>
        </w:rPr>
        <w:t>原则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存在下列情形的，不得列入清单：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1.违法行为是常见导致水上交通事故或者险情原因的；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2.违法行为情节严重或者性质恶劣的；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3.违法行为存在主观恶意的；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4.清单实施后，违法行为发生频次明显增多的；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5.存在其他不应当列入清单的情形。</w:t>
      </w:r>
    </w:p>
    <w:p>
      <w:pPr>
        <w:ind w:left="0" w:leftChars="0"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（二）列入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清单应当满足的情形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不存在不得列入的情形，且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存在下列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情节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的，可以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考虑</w:t>
      </w:r>
      <w:r>
        <w:rPr>
          <w:rFonts w:hint="eastAsia" w:ascii="仿宋_GB2312" w:hAnsi="仿宋_GB2312" w:eastAsia="仿宋_GB2312" w:cs="仿宋_GB2312"/>
          <w:sz w:val="32"/>
          <w:szCs w:val="32"/>
        </w:rPr>
        <w:t>列入清单：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1.违法行为不会造成水上交通事故和环境污染的；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2.通过批评教育、信用管理等方式可以防止违法行为再次发生的；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3.违法行为通常是当事人疏忽大意所导致的，可以附条件纳入；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4.在违法行为发现前，当事人已经主动纠正违法行为的；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5.当事人确有悔过表现，免予处罚可以督促当事人及时纠正违法行为的；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6.法律、法规、规章规定可以免予处罚的。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四、清单调整审议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部海事局评估后认为需要调整清单的，提出具体清单调整方案，按《海事行政规范性文件制定和管理办法》规定的程序发布。海事行政处罚系统应当同步调整，确保系统设置与新生效的清单同步。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五、清单发布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调整后的清单由交通运输部海事局公布，并标识清单生效时间。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六、清单实施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各级海事管理机构按职责负责本辖区内清单的实施工作。各单位应当畅通渠道，通过公布投诉举报电话、电子信箱等方式，听取、收集公民、法人或者其他组织关于清单实施情况及调整的意见建议。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xZDQ2MTU5MDk0NDEyYjNlNWY4N2RlNjUyNWU4ZjAifQ=="/>
  </w:docVars>
  <w:rsids>
    <w:rsidRoot w:val="00000000"/>
    <w:rsid w:val="3F5DC0A6"/>
    <w:rsid w:val="71D716EC"/>
    <w:rsid w:val="97F99285"/>
    <w:rsid w:val="F9DFA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2023-05-13T16:17:00Z</dcterms:created>
  <dc:creator>USER</dc:creator>
  <cp:lastModifiedBy>msa</cp:lastModifiedBy>
  <dcterms:modified xsi:type="dcterms:W3CDTF">2023-05-15T12:16:06Z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17A846700E2B4547A68181CC06974103_12</vt:lpwstr>
  </property>
</Properties>
</file>